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FC" w:rsidRDefault="002865F3" w:rsidP="002865F3">
      <w:pPr>
        <w:bidi w:val="0"/>
      </w:pPr>
      <w:bookmarkStart w:id="0" w:name="_GoBack"/>
      <w:bookmarkEnd w:id="0"/>
      <w:r w:rsidRPr="00FE65A3">
        <w:rPr>
          <w:noProof/>
          <w:color w:val="000000"/>
          <w:sz w:val="28"/>
          <w:szCs w:val="28"/>
          <w:lang w:eastAsia="en-US" w:bidi="ar-SA"/>
        </w:rPr>
        <w:drawing>
          <wp:inline distT="0" distB="0" distL="0" distR="0" wp14:anchorId="67966927" wp14:editId="104CE852">
            <wp:extent cx="5097780" cy="3182620"/>
            <wp:effectExtent l="19050" t="0" r="762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318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5F3" w:rsidRDefault="002865F3" w:rsidP="002865F3">
      <w:pPr>
        <w:bidi w:val="0"/>
      </w:pPr>
    </w:p>
    <w:p w:rsidR="002865F3" w:rsidRDefault="002865F3" w:rsidP="002865F3">
      <w:pPr>
        <w:bidi w:val="0"/>
      </w:pPr>
    </w:p>
    <w:p w:rsidR="002865F3" w:rsidRDefault="002865F3" w:rsidP="002865F3">
      <w:pPr>
        <w:bidi w:val="0"/>
      </w:pPr>
      <w:r>
        <w:object w:dxaOrig="9456" w:dyaOrig="154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677.25pt" o:ole="">
            <v:imagedata r:id="rId6" o:title=""/>
          </v:shape>
          <o:OLEObject Type="Embed" ProgID="ChemDraw.Document.6.0" ShapeID="_x0000_i1025" DrawAspect="Content" ObjectID="_1467012325" r:id="rId7"/>
        </w:object>
      </w:r>
    </w:p>
    <w:p w:rsidR="002865F3" w:rsidRDefault="002865F3" w:rsidP="002865F3">
      <w:pPr>
        <w:bidi w:val="0"/>
      </w:pPr>
    </w:p>
    <w:p w:rsidR="002865F3" w:rsidRDefault="0026063C" w:rsidP="002865F3">
      <w:pPr>
        <w:bidi w:val="0"/>
        <w:rPr>
          <w:rFonts w:ascii="Arial" w:hAnsi="Arial"/>
          <w:b/>
          <w:sz w:val="22"/>
          <w:lang w:eastAsia="de-DE"/>
        </w:rPr>
      </w:pPr>
      <w:r>
        <w:object w:dxaOrig="10550" w:dyaOrig="14148">
          <v:shape id="_x0000_i1026" type="#_x0000_t75" style="width:415.5pt;height:556.5pt" o:ole="">
            <v:imagedata r:id="rId8" o:title=""/>
          </v:shape>
          <o:OLEObject Type="Embed" ProgID="ChemDraw.Document.6.0" ShapeID="_x0000_i1026" DrawAspect="Content" ObjectID="_1467012326" r:id="rId9"/>
        </w:object>
      </w:r>
      <w:r w:rsidR="002865F3" w:rsidRPr="00FE65A3">
        <w:rPr>
          <w:rFonts w:ascii="Arial" w:hAnsi="Arial"/>
          <w:b/>
          <w:sz w:val="22"/>
          <w:lang w:eastAsia="de-DE"/>
        </w:rPr>
        <w:object w:dxaOrig="8995" w:dyaOrig="10639">
          <v:shape id="_x0000_i1027" type="#_x0000_t75" style="width:450pt;height:532.5pt" o:ole="">
            <v:imagedata r:id="rId10" o:title=""/>
          </v:shape>
          <o:OLEObject Type="Embed" ProgID="ChemDraw.Document.6.0" ShapeID="_x0000_i1027" DrawAspect="Content" ObjectID="_1467012327" r:id="rId11"/>
        </w:object>
      </w:r>
    </w:p>
    <w:p w:rsidR="002865F3" w:rsidRDefault="002865F3" w:rsidP="002865F3">
      <w:pPr>
        <w:bidi w:val="0"/>
        <w:rPr>
          <w:rFonts w:ascii="Arial" w:hAnsi="Arial"/>
          <w:b/>
          <w:sz w:val="22"/>
          <w:lang w:eastAsia="de-DE"/>
        </w:rPr>
      </w:pPr>
    </w:p>
    <w:p w:rsidR="002865F3" w:rsidRDefault="002865F3" w:rsidP="002865F3">
      <w:pPr>
        <w:bidi w:val="0"/>
        <w:rPr>
          <w:color w:val="000000"/>
          <w:lang w:eastAsia="de-DE"/>
        </w:rPr>
      </w:pPr>
      <w:r w:rsidRPr="00FE65A3">
        <w:rPr>
          <w:color w:val="000000"/>
          <w:lang w:eastAsia="de-DE"/>
        </w:rPr>
        <w:object w:dxaOrig="9280" w:dyaOrig="8843">
          <v:shape id="_x0000_i1028" type="#_x0000_t75" style="width:463.5pt;height:442.5pt" o:ole="">
            <v:imagedata r:id="rId12" o:title=""/>
          </v:shape>
          <o:OLEObject Type="Embed" ProgID="ChemDraw.Document.6.0" ShapeID="_x0000_i1028" DrawAspect="Content" ObjectID="_1467012328" r:id="rId13"/>
        </w:object>
      </w: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  <w:rPr>
          <w:color w:val="000000"/>
          <w:lang w:eastAsia="de-DE"/>
        </w:rPr>
      </w:pPr>
    </w:p>
    <w:p w:rsidR="00AF3EED" w:rsidRDefault="00AF3EED" w:rsidP="00AF3EED">
      <w:pPr>
        <w:bidi w:val="0"/>
      </w:pPr>
      <w:r>
        <w:rPr>
          <w:noProof/>
          <w:lang w:eastAsia="en-US" w:bidi="ar-SA"/>
        </w:rPr>
        <w:drawing>
          <wp:anchor distT="0" distB="0" distL="114300" distR="114300" simplePos="0" relativeHeight="251659264" behindDoc="0" locked="0" layoutInCell="1" allowOverlap="1" wp14:anchorId="56962545" wp14:editId="59209E28">
            <wp:simplePos x="0" y="0"/>
            <wp:positionH relativeFrom="column">
              <wp:posOffset>843915</wp:posOffset>
            </wp:positionH>
            <wp:positionV relativeFrom="paragraph">
              <wp:posOffset>76835</wp:posOffset>
            </wp:positionV>
            <wp:extent cx="4803116" cy="3131389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116" cy="3131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Default="00AF3EED" w:rsidP="00AF3EED">
      <w:pPr>
        <w:bidi w:val="0"/>
      </w:pPr>
    </w:p>
    <w:p w:rsidR="00AF3EED" w:rsidRDefault="00AF3EED" w:rsidP="00AF3EED">
      <w:pPr>
        <w:bidi w:val="0"/>
      </w:pPr>
    </w:p>
    <w:p w:rsidR="00AF3EED" w:rsidRDefault="00AF3EED" w:rsidP="00AF3EED">
      <w:pPr>
        <w:tabs>
          <w:tab w:val="left" w:pos="1590"/>
        </w:tabs>
        <w:bidi w:val="0"/>
      </w:pPr>
      <w:proofErr w:type="gramStart"/>
      <w:r w:rsidRPr="00AF3EED">
        <w:t>Figure 2.</w:t>
      </w:r>
      <w:proofErr w:type="gramEnd"/>
      <w:r w:rsidRPr="00AF3EED">
        <w:t xml:space="preserve"> Cytotoxicity of compounds </w:t>
      </w:r>
      <w:r w:rsidRPr="00AF3EED">
        <w:rPr>
          <w:b/>
          <w:bCs/>
        </w:rPr>
        <w:t>4a-c</w:t>
      </w:r>
      <w:r w:rsidRPr="00AF3EED">
        <w:t xml:space="preserve">, </w:t>
      </w:r>
      <w:r w:rsidRPr="00AF3EED">
        <w:rPr>
          <w:b/>
          <w:bCs/>
        </w:rPr>
        <w:t>6a-c</w:t>
      </w:r>
      <w:r w:rsidRPr="00AF3EED">
        <w:t xml:space="preserve">, </w:t>
      </w:r>
      <w:r w:rsidRPr="00AF3EED">
        <w:rPr>
          <w:b/>
          <w:bCs/>
        </w:rPr>
        <w:t>8</w:t>
      </w:r>
      <w:r w:rsidRPr="00AF3EED">
        <w:t xml:space="preserve">, </w:t>
      </w:r>
      <w:r w:rsidRPr="00AF3EED">
        <w:rPr>
          <w:b/>
          <w:bCs/>
        </w:rPr>
        <w:t>10a-c</w:t>
      </w:r>
      <w:r w:rsidRPr="00AF3EED">
        <w:t xml:space="preserve"> and CHS 828 against NUGC, gastric cancer; DLDI, colon cancer; HA22Tand HEPG2, liver cancer; HONEI, nasopharyngeal carcinoma; MCF, breast cancer.</w:t>
      </w:r>
    </w:p>
    <w:p w:rsidR="00AF3EED" w:rsidRDefault="00AF3EED" w:rsidP="00AF3EED">
      <w:pPr>
        <w:tabs>
          <w:tab w:val="left" w:pos="1590"/>
        </w:tabs>
        <w:bidi w:val="0"/>
      </w:pPr>
    </w:p>
    <w:p w:rsidR="00AF3EED" w:rsidRDefault="00AF3EED" w:rsidP="00AF3EED">
      <w:pPr>
        <w:tabs>
          <w:tab w:val="left" w:pos="1590"/>
        </w:tabs>
        <w:bidi w:val="0"/>
      </w:pPr>
    </w:p>
    <w:p w:rsidR="00AF3EED" w:rsidRDefault="00AF3EED" w:rsidP="00AF3EED">
      <w:pPr>
        <w:tabs>
          <w:tab w:val="left" w:pos="1590"/>
        </w:tabs>
        <w:bidi w:val="0"/>
      </w:pPr>
    </w:p>
    <w:p w:rsidR="00AF3EED" w:rsidRDefault="00AF3EED" w:rsidP="00AF3EED">
      <w:pPr>
        <w:tabs>
          <w:tab w:val="left" w:pos="1590"/>
        </w:tabs>
        <w:bidi w:val="0"/>
      </w:pPr>
      <w:r w:rsidRPr="00AF3EED">
        <w:rPr>
          <w:rFonts w:eastAsia="Calibri"/>
          <w:b/>
          <w:bCs/>
          <w:noProof/>
          <w:lang w:eastAsia="en-US" w:bidi="ar-SA"/>
        </w:rPr>
        <w:drawing>
          <wp:anchor distT="0" distB="0" distL="114300" distR="114300" simplePos="0" relativeHeight="251661312" behindDoc="0" locked="0" layoutInCell="1" allowOverlap="1" wp14:anchorId="6DF00BFA" wp14:editId="2D08555B">
            <wp:simplePos x="0" y="0"/>
            <wp:positionH relativeFrom="column">
              <wp:posOffset>240665</wp:posOffset>
            </wp:positionH>
            <wp:positionV relativeFrom="paragraph">
              <wp:posOffset>79375</wp:posOffset>
            </wp:positionV>
            <wp:extent cx="4845685" cy="31654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85" cy="316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3EED" w:rsidRDefault="00AF3EED" w:rsidP="00AF3EED">
      <w:pPr>
        <w:tabs>
          <w:tab w:val="left" w:pos="1590"/>
        </w:tabs>
        <w:bidi w:val="0"/>
      </w:pPr>
    </w:p>
    <w:p w:rsidR="00AF3EED" w:rsidRDefault="00AF3EED" w:rsidP="00AF3EED">
      <w:pPr>
        <w:tabs>
          <w:tab w:val="left" w:pos="1590"/>
        </w:tabs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Pr="00AF3EED" w:rsidRDefault="00AF3EED" w:rsidP="00AF3EED">
      <w:pPr>
        <w:bidi w:val="0"/>
      </w:pPr>
    </w:p>
    <w:p w:rsidR="00AF3EED" w:rsidRDefault="00AF3EED" w:rsidP="00AF3EED">
      <w:pPr>
        <w:bidi w:val="0"/>
      </w:pPr>
    </w:p>
    <w:p w:rsidR="00AF3EED" w:rsidRDefault="00AF3EED" w:rsidP="00AF3EED">
      <w:pPr>
        <w:bidi w:val="0"/>
      </w:pPr>
    </w:p>
    <w:p w:rsidR="00AF3EED" w:rsidRDefault="00AF3EED" w:rsidP="00AF3EED">
      <w:pPr>
        <w:bidi w:val="0"/>
      </w:pPr>
      <w:proofErr w:type="gramStart"/>
      <w:r w:rsidRPr="00AF3EED">
        <w:t>Figure 3.</w:t>
      </w:r>
      <w:proofErr w:type="gramEnd"/>
      <w:r w:rsidRPr="00AF3EED">
        <w:t xml:space="preserve"> </w:t>
      </w:r>
      <w:proofErr w:type="gramStart"/>
      <w:r w:rsidRPr="00AF3EED">
        <w:t xml:space="preserve">Cytotoxicity of compounds </w:t>
      </w:r>
      <w:r w:rsidRPr="00AF3EED">
        <w:rPr>
          <w:b/>
          <w:bCs/>
        </w:rPr>
        <w:t>12,</w:t>
      </w:r>
      <w:r w:rsidRPr="00AF3EED">
        <w:t xml:space="preserve"> </w:t>
      </w:r>
      <w:r w:rsidRPr="00AF3EED">
        <w:rPr>
          <w:b/>
          <w:bCs/>
        </w:rPr>
        <w:t>13</w:t>
      </w:r>
      <w:r w:rsidRPr="00AF3EED">
        <w:t xml:space="preserve">, </w:t>
      </w:r>
      <w:r w:rsidRPr="00AF3EED">
        <w:rPr>
          <w:b/>
          <w:bCs/>
        </w:rPr>
        <w:t>14</w:t>
      </w:r>
      <w:r w:rsidRPr="00AF3EED">
        <w:t xml:space="preserve">, </w:t>
      </w:r>
      <w:r w:rsidRPr="00AF3EED">
        <w:rPr>
          <w:b/>
          <w:bCs/>
        </w:rPr>
        <w:t>17a-c</w:t>
      </w:r>
      <w:r w:rsidRPr="00AF3EED">
        <w:t xml:space="preserve">, </w:t>
      </w:r>
      <w:r w:rsidRPr="00AF3EED">
        <w:rPr>
          <w:b/>
          <w:bCs/>
        </w:rPr>
        <w:t>19</w:t>
      </w:r>
      <w:r w:rsidRPr="00AF3EED">
        <w:t>,</w:t>
      </w:r>
      <w:r w:rsidRPr="00AF3EED">
        <w:rPr>
          <w:b/>
          <w:bCs/>
        </w:rPr>
        <w:t xml:space="preserve"> 20</w:t>
      </w:r>
      <w:r w:rsidRPr="00AF3EED">
        <w:t xml:space="preserve"> and CHS 828 against NUGC, gastric cancer; DLDI, colon cancer; HA22T and HEPG2, liver cancer; HONEI, nasopharyngeal carcinoma; MCF, breast cancer.</w:t>
      </w:r>
      <w:proofErr w:type="gramEnd"/>
    </w:p>
    <w:p w:rsidR="00C32BF1" w:rsidRDefault="00C32BF1" w:rsidP="00C32BF1">
      <w:pPr>
        <w:bidi w:val="0"/>
      </w:pPr>
    </w:p>
    <w:p w:rsidR="00C32BF1" w:rsidRDefault="00C32BF1" w:rsidP="00C32BF1">
      <w:pPr>
        <w:bidi w:val="0"/>
      </w:pPr>
    </w:p>
    <w:p w:rsidR="00C32BF1" w:rsidRDefault="00C32BF1" w:rsidP="00C32BF1">
      <w:pPr>
        <w:bidi w:val="0"/>
      </w:pPr>
    </w:p>
    <w:p w:rsidR="00C32BF1" w:rsidRDefault="00C32BF1" w:rsidP="00C32BF1">
      <w:pPr>
        <w:bidi w:val="0"/>
      </w:pPr>
    </w:p>
    <w:p w:rsidR="00C32BF1" w:rsidRDefault="00C32BF1" w:rsidP="00C32BF1">
      <w:pPr>
        <w:bidi w:val="0"/>
      </w:pPr>
    </w:p>
    <w:p w:rsidR="00C32BF1" w:rsidRDefault="00C32BF1" w:rsidP="00C32BF1">
      <w:pPr>
        <w:bidi w:val="0"/>
      </w:pPr>
    </w:p>
    <w:p w:rsidR="00C32BF1" w:rsidRDefault="00C32BF1" w:rsidP="00C32BF1">
      <w:pPr>
        <w:bidi w:val="0"/>
      </w:pPr>
      <w:r w:rsidRPr="00FE65A3">
        <w:rPr>
          <w:rFonts w:eastAsia="Calibri"/>
          <w:b/>
          <w:bCs/>
          <w:noProof/>
          <w:lang w:eastAsia="en-US" w:bidi="ar-SA"/>
        </w:rPr>
        <w:drawing>
          <wp:anchor distT="0" distB="0" distL="114300" distR="114300" simplePos="0" relativeHeight="251663360" behindDoc="0" locked="0" layoutInCell="1" allowOverlap="1" wp14:anchorId="72BDCE9F" wp14:editId="76ACA0D2">
            <wp:simplePos x="0" y="0"/>
            <wp:positionH relativeFrom="column">
              <wp:posOffset>479425</wp:posOffset>
            </wp:positionH>
            <wp:positionV relativeFrom="paragraph">
              <wp:posOffset>-398780</wp:posOffset>
            </wp:positionV>
            <wp:extent cx="4820285" cy="314833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285" cy="314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Default="00C32BF1" w:rsidP="00C32BF1">
      <w:pPr>
        <w:bidi w:val="0"/>
      </w:pPr>
    </w:p>
    <w:p w:rsidR="00C32BF1" w:rsidRPr="00C32BF1" w:rsidRDefault="00C32BF1" w:rsidP="00C32BF1">
      <w:pPr>
        <w:bidi w:val="0"/>
      </w:pPr>
    </w:p>
    <w:p w:rsidR="00C32BF1" w:rsidRDefault="00C32BF1" w:rsidP="00C32BF1">
      <w:pPr>
        <w:bidi w:val="0"/>
      </w:pPr>
      <w:proofErr w:type="gramStart"/>
      <w:r w:rsidRPr="00C32BF1">
        <w:t>Figure 4.</w:t>
      </w:r>
      <w:proofErr w:type="gramEnd"/>
      <w:r w:rsidRPr="00C32BF1">
        <w:t xml:space="preserve"> Cytotoxicity </w:t>
      </w:r>
      <w:proofErr w:type="spellStart"/>
      <w:r w:rsidRPr="00C32BF1">
        <w:t>ofcompounds</w:t>
      </w:r>
      <w:proofErr w:type="spellEnd"/>
      <w:r w:rsidRPr="00C32BF1">
        <w:t xml:space="preserve"> </w:t>
      </w:r>
      <w:r w:rsidRPr="00C32BF1">
        <w:rPr>
          <w:b/>
          <w:bCs/>
        </w:rPr>
        <w:t>22a-d</w:t>
      </w:r>
      <w:r w:rsidRPr="00C32BF1">
        <w:t xml:space="preserve">, </w:t>
      </w:r>
      <w:r w:rsidRPr="00C32BF1">
        <w:rPr>
          <w:b/>
          <w:bCs/>
        </w:rPr>
        <w:t>25a-c</w:t>
      </w:r>
      <w:r w:rsidRPr="00C32BF1">
        <w:t xml:space="preserve"> and CHS 828 against NUGC, </w:t>
      </w:r>
      <w:proofErr w:type="spellStart"/>
      <w:r w:rsidRPr="00C32BF1">
        <w:t>gastriccancer</w:t>
      </w:r>
      <w:proofErr w:type="spellEnd"/>
      <w:r w:rsidRPr="00C32BF1">
        <w:t>; DLDI, colon cancer; HA22T and HEPG2, liver cancer; HONEI, nasopharyngeal carcinoma; MCF, breast cancer</w:t>
      </w:r>
    </w:p>
    <w:p w:rsidR="00C32BF1" w:rsidRPr="00C32BF1" w:rsidRDefault="00C32BF1" w:rsidP="00C32BF1">
      <w:pPr>
        <w:bidi w:val="0"/>
      </w:pPr>
    </w:p>
    <w:sectPr w:rsidR="00C32BF1" w:rsidRPr="00C32BF1" w:rsidSect="00D833FC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F3"/>
    <w:rsid w:val="0003445F"/>
    <w:rsid w:val="00057328"/>
    <w:rsid w:val="0006158C"/>
    <w:rsid w:val="000B6224"/>
    <w:rsid w:val="000D3C3C"/>
    <w:rsid w:val="00185707"/>
    <w:rsid w:val="00220414"/>
    <w:rsid w:val="00232B29"/>
    <w:rsid w:val="0026063C"/>
    <w:rsid w:val="002865F3"/>
    <w:rsid w:val="002D6570"/>
    <w:rsid w:val="00315EB2"/>
    <w:rsid w:val="00336235"/>
    <w:rsid w:val="00350EA5"/>
    <w:rsid w:val="00483A41"/>
    <w:rsid w:val="004A3904"/>
    <w:rsid w:val="004E2643"/>
    <w:rsid w:val="0050169A"/>
    <w:rsid w:val="00540C8E"/>
    <w:rsid w:val="00544155"/>
    <w:rsid w:val="005A62A8"/>
    <w:rsid w:val="005C0447"/>
    <w:rsid w:val="005E1201"/>
    <w:rsid w:val="005F106F"/>
    <w:rsid w:val="006332AA"/>
    <w:rsid w:val="0065461F"/>
    <w:rsid w:val="00674129"/>
    <w:rsid w:val="006B234C"/>
    <w:rsid w:val="006B7946"/>
    <w:rsid w:val="007B4846"/>
    <w:rsid w:val="007C4B65"/>
    <w:rsid w:val="00823836"/>
    <w:rsid w:val="00861B19"/>
    <w:rsid w:val="0090488B"/>
    <w:rsid w:val="009269E0"/>
    <w:rsid w:val="00A14140"/>
    <w:rsid w:val="00A2678B"/>
    <w:rsid w:val="00A5450F"/>
    <w:rsid w:val="00AA153F"/>
    <w:rsid w:val="00AB5C6D"/>
    <w:rsid w:val="00AF3EED"/>
    <w:rsid w:val="00BC7327"/>
    <w:rsid w:val="00C10A16"/>
    <w:rsid w:val="00C1716D"/>
    <w:rsid w:val="00C32BF1"/>
    <w:rsid w:val="00C71A78"/>
    <w:rsid w:val="00C76A3C"/>
    <w:rsid w:val="00C9724E"/>
    <w:rsid w:val="00C97CC0"/>
    <w:rsid w:val="00CB3554"/>
    <w:rsid w:val="00CD023E"/>
    <w:rsid w:val="00CE51BC"/>
    <w:rsid w:val="00D05662"/>
    <w:rsid w:val="00D833FC"/>
    <w:rsid w:val="00F253D2"/>
    <w:rsid w:val="00F83535"/>
    <w:rsid w:val="00FC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eastAsia="zh-CN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eastAsia="zh-CN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Nehal</dc:creator>
  <cp:lastModifiedBy>Dr. Nehal</cp:lastModifiedBy>
  <cp:revision>2</cp:revision>
  <dcterms:created xsi:type="dcterms:W3CDTF">2014-07-16T08:37:00Z</dcterms:created>
  <dcterms:modified xsi:type="dcterms:W3CDTF">2014-07-16T08:37:00Z</dcterms:modified>
</cp:coreProperties>
</file>